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Stakeholder and RACI Map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to identify the people affected by the work and clarify who does what.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Stakeholder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Name or role.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Interest or need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does this person care about?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Influence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High, medium, or low.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Responsible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performs the work?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Accountable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owns the final result or decision?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Consulted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must provide input?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Informed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needs updates?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Communication plan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Message, channel, owner, and timing.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Only one accountable owner per deliverable   ☐ Ask stakeholders how they prefer updates   ☐ Revisit the map when scope changes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and RACI Map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