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ISA 2010 Course Supervisor Guide and Templates</w:t>
      </w:r>
    </w:p>
    <w:p>
      <w:r>
        <w:t>A practical system for course quality, instructor coordination, assessment, and continuous improvement</w:t>
      </w:r>
    </w:p>
    <w:p>
      <w:r>
        <w:t>Prepared for Steven Bryan  |  Utah Tech University College of Business  |  Working draft</w:t>
      </w:r>
    </w:p>
    <w:p>
      <w:r>
        <w:t>This guide starts with the published course requirements and turns them into a repeatable semester process. It provides a proposed operating model, not a statement of delegated authority. The first task is to confirm your charge with the department chair and ISA program director. Once that is clear, you can use the forms here to establish a common course baseline, review evidence, support instructors, and document improvement.</w:t>
      </w:r>
    </w:p>
    <w:p>
      <w:pPr>
        <w:pStyle w:val="Heading1"/>
      </w:pPr>
      <w:r>
        <w:t>The first decision</w:t>
      </w:r>
    </w:p>
    <w:p>
      <w:r>
        <w:t>Agree on the distinction between a course supervisor’s coordination work and decisions reserved for program leadership, faculty, and university curriculum approval. The College of Business handbook assigns program directors responsibility for catalog course outcomes and key learning assignments, while the associate dean oversees curriculum and assessment. This guide proposes that you organize the evidence and faculty work for ISA 2010 within the authority delegated to you.</w:t>
      </w:r>
    </w:p>
    <w:p>
      <w:pPr>
        <w:pStyle w:val="Heading1"/>
      </w:pPr>
      <w:r>
        <w:t>At a glance</w:t>
      </w:r>
    </w:p>
    <w:tbl>
      <w:tblPr>
        <w:tblW w:type="auto" w:w="0"/>
        <w:jc w:val="center"/>
        <w:tblLayout w:type="fixed"/>
        <w:tblLook w:firstColumn="1" w:firstRow="1" w:lastColumn="0" w:lastRow="0" w:noHBand="0" w:noVBand="1" w:val="04A0"/>
      </w:tblPr>
      <w:tblGrid>
        <w:gridCol w:w="1584"/>
        <w:gridCol w:w="4320"/>
        <w:gridCol w:w="4104"/>
      </w:tblGrid>
      <w:tr>
        <w:trPr>
          <w:tblHeader/>
        </w:trPr>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Time</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Supervisor output</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Decision point</w:t>
            </w:r>
          </w:p>
        </w:tc>
      </w:tr>
      <w:tr>
        <w:tc>
          <w:tcPr>
            <w:tcW w:type="dxa" w:w="15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First 2 weeks</w:t>
            </w:r>
          </w:p>
        </w:tc>
        <w:tc>
          <w:tcPr>
            <w:tcW w:type="dxa" w:w="432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Role charter, artifact inventory, section roster</w:t>
            </w:r>
          </w:p>
        </w:tc>
        <w:tc>
          <w:tcPr>
            <w:tcW w:type="dxa" w:w="41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Chair and program director confirm authority</w:t>
            </w:r>
          </w:p>
        </w:tc>
      </w:tr>
      <w:tr>
        <w:tc>
          <w:tcPr>
            <w:tcW w:type="dxa" w:w="158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Weeks 3–4</w:t>
            </w:r>
          </w:p>
        </w:tc>
        <w:tc>
          <w:tcPr>
            <w:tcW w:type="dxa" w:w="432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Common course baseline and CLO evidence map</w:t>
            </w:r>
          </w:p>
        </w:tc>
        <w:tc>
          <w:tcPr>
            <w:tcW w:type="dxa" w:w="410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ISA faculty agree on minimums</w:t>
            </w:r>
          </w:p>
        </w:tc>
      </w:tr>
      <w:tr>
        <w:tc>
          <w:tcPr>
            <w:tcW w:type="dxa" w:w="15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Weeks 5–8</w:t>
            </w:r>
          </w:p>
        </w:tc>
        <w:tc>
          <w:tcPr>
            <w:tcW w:type="dxa" w:w="432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Currency audit and prioritized improvement register</w:t>
            </w:r>
          </w:p>
        </w:tc>
        <w:tc>
          <w:tcPr>
            <w:tcW w:type="dxa" w:w="41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Program director reviews recommendations</w:t>
            </w:r>
          </w:p>
        </w:tc>
      </w:tr>
      <w:tr>
        <w:tc>
          <w:tcPr>
            <w:tcW w:type="dxa" w:w="158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Remainder of term</w:t>
            </w:r>
          </w:p>
        </w:tc>
        <w:tc>
          <w:tcPr>
            <w:tcW w:type="dxa" w:w="432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One common assessment, instructor support, issue log</w:t>
            </w:r>
          </w:p>
        </w:tc>
        <w:tc>
          <w:tcPr>
            <w:tcW w:type="dxa" w:w="410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Faculty adjust delivery within approved scope</w:t>
            </w:r>
          </w:p>
        </w:tc>
      </w:tr>
      <w:tr>
        <w:tc>
          <w:tcPr>
            <w:tcW w:type="dxa" w:w="15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After term</w:t>
            </w:r>
          </w:p>
        </w:tc>
        <w:tc>
          <w:tcPr>
            <w:tcW w:type="dxa" w:w="432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Results summary, changes and next cycle</w:t>
            </w:r>
          </w:p>
        </w:tc>
        <w:tc>
          <w:tcPr>
            <w:tcW w:type="dxa" w:w="41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AoL and curriculum route as applicable</w:t>
            </w:r>
          </w:p>
        </w:tc>
      </w:tr>
    </w:tbl>
    <w:p/>
    <w:p>
      <w:pPr>
        <w:pStyle w:val="Heading1"/>
      </w:pPr>
      <w:r>
        <w:t>1 Course facts and open questions</w:t>
      </w:r>
    </w:p>
    <w:p>
      <w:r>
        <w:t>The 2026–2027 catalog identifies ISA 2010 as a three credit Introduction to Business Data Analytics course required of College of Business students. It covers business decisions across functions, MOS Excel Expert preparation and testing, other advanced analytics tools, and four course learning outcomes. ISA 2050 requires a C minus or higher in ISA 2010. These are published facts, not optional design choices.</w:t>
      </w:r>
    </w:p>
    <w:tbl>
      <w:tblPr>
        <w:tblW w:type="auto" w:w="0"/>
        <w:jc w:val="center"/>
        <w:tblLayout w:type="fixed"/>
        <w:tblLook w:firstColumn="1" w:firstRow="1" w:lastColumn="0" w:lastRow="0" w:noHBand="0" w:noVBand="1" w:val="04A0"/>
      </w:tblPr>
      <w:tblGrid>
        <w:gridCol w:w="4752"/>
        <w:gridCol w:w="5256"/>
      </w:tblGrid>
      <w:tr>
        <w:trPr>
          <w:tblHeader/>
        </w:trPr>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Published course outcome</w:t>
            </w:r>
          </w:p>
        </w:tc>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Initial evidence candidate</w:t>
            </w:r>
          </w:p>
        </w:tc>
      </w:tr>
      <w:tr>
        <w:tc>
          <w:tcPr>
            <w:tcW w:type="dxa" w:w="475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1 Advanced spreadsheet models with formulas, functions, charts, pivot tables, and macros</w:t>
            </w:r>
          </w:p>
        </w:tc>
        <w:tc>
          <w:tcPr>
            <w:tcW w:type="dxa" w:w="525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Excel model plus a scored independent skills task and MOS result</w:t>
            </w:r>
          </w:p>
        </w:tc>
      </w:tr>
      <w:tr>
        <w:tc>
          <w:tcPr>
            <w:tcW w:type="dxa" w:w="475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2 Connect, transform, and present data for decisions</w:t>
            </w:r>
          </w:p>
        </w:tc>
        <w:tc>
          <w:tcPr>
            <w:tcW w:type="dxa" w:w="525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Messy data workbook showing transformation and validation</w:t>
            </w:r>
          </w:p>
        </w:tc>
      </w:tr>
      <w:tr>
        <w:tc>
          <w:tcPr>
            <w:tcW w:type="dxa" w:w="475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3 Build dashboards and workbooks to visualize insights</w:t>
            </w:r>
          </w:p>
        </w:tc>
        <w:tc>
          <w:tcPr>
            <w:tcW w:type="dxa" w:w="525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Dashboard plus a short decision brief</w:t>
            </w:r>
          </w:p>
        </w:tc>
      </w:tr>
      <w:tr>
        <w:tc>
          <w:tcPr>
            <w:tcW w:type="dxa" w:w="475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4 Explore business analytics career paths</w:t>
            </w:r>
          </w:p>
        </w:tc>
        <w:tc>
          <w:tcPr>
            <w:tcW w:type="dxa" w:w="525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Career exploration and skills reflection</w:t>
            </w:r>
          </w:p>
        </w:tc>
      </w:tr>
    </w:tbl>
    <w:p/>
    <w:p>
      <w:r>
        <w:t>The second column is a proposal for discussion. Confirm actual assignments, rubrics, and the approved assessment map before rating any current section.</w:t>
      </w:r>
    </w:p>
    <w:p>
      <w:pPr>
        <w:pStyle w:val="Heading2"/>
      </w:pPr>
      <w:r>
        <w:t>Open questions to resolve</w:t>
      </w:r>
    </w:p>
    <w:p>
      <w:pPr>
        <w:pStyle w:val="ListBullet"/>
      </w:pPr>
      <w:r>
        <w:t>Who has final authority over the common syllabus, Canvas master, tools, assignment requirements, MOS testing plan, and cross section changes?</w:t>
      </w:r>
    </w:p>
    <w:p>
      <w:pPr>
        <w:pStyle w:val="ListBullet"/>
      </w:pPr>
      <w:r>
        <w:t>Which approved master map and program outcome version apply? The catalog lists six ISA degree outcomes; the ISA program website currently displays a different five outcome list.</w:t>
      </w:r>
    </w:p>
    <w:p>
      <w:pPr>
        <w:pStyle w:val="ListBullet"/>
      </w:pPr>
      <w:r>
        <w:t>What assessment assignment and rubric criteria are already designated for institutional reporting?</w:t>
      </w:r>
    </w:p>
    <w:p>
      <w:pPr>
        <w:pStyle w:val="ListBullet"/>
      </w:pPr>
      <w:r>
        <w:t>What are the current section count, modalities, faculty, MOS pass or attempt data, textbook arrangement, course fee, and software support?</w:t>
      </w:r>
    </w:p>
    <w:p>
      <w:pPr>
        <w:pStyle w:val="ListBullet"/>
      </w:pPr>
      <w:r>
        <w:t>What student accessibility and Mac or device constraints have instructors observed?</w:t>
      </w:r>
    </w:p>
    <w:p>
      <w:pPr>
        <w:pStyle w:val="Heading1"/>
      </w:pPr>
      <w:r>
        <w:t>2 Role charter template</w:t>
      </w:r>
    </w:p>
    <w:p>
      <w:r>
        <w:t>Complete with the chair and program director. Record the approval date and circulate the resulting one page charge to all ISA 2010 instructors.</w:t>
      </w:r>
    </w:p>
    <w:tbl>
      <w:tblPr>
        <w:tblW w:type="auto" w:w="0"/>
        <w:jc w:val="center"/>
        <w:tblLayout w:type="fixed"/>
        <w:tblLook w:firstColumn="1" w:firstRow="1" w:lastColumn="0" w:lastRow="0" w:noHBand="0" w:noVBand="1" w:val="04A0"/>
      </w:tblPr>
      <w:tblGrid>
        <w:gridCol w:w="2016"/>
        <w:gridCol w:w="5616"/>
        <w:gridCol w:w="2376"/>
      </w:tblGrid>
      <w:tr>
        <w:trPr>
          <w:tblHeader/>
        </w:trPr>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Area</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Proposed supervisor responsibility</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Who approves or owns?</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Course coherence</w:t>
            </w:r>
          </w:p>
        </w:tc>
        <w:tc>
          <w:tcPr>
            <w:tcW w:type="dxa" w:w="56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Maintain the common baseline, faculty calendar, and versioned materials.</w:t>
            </w:r>
          </w:p>
        </w:tc>
        <w:tc>
          <w:tcPr>
            <w:tcW w:type="dxa" w:w="23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20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Instructor support</w:t>
            </w:r>
          </w:p>
        </w:tc>
        <w:tc>
          <w:tcPr>
            <w:tcW w:type="dxa" w:w="56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Hold meetings, share examples, handle section issues, escalate concerns.</w:t>
            </w:r>
          </w:p>
        </w:tc>
        <w:tc>
          <w:tcPr>
            <w:tcW w:type="dxa" w:w="237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Assessment</w:t>
            </w:r>
          </w:p>
        </w:tc>
        <w:tc>
          <w:tcPr>
            <w:tcW w:type="dxa" w:w="56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Coordinate the CLO map and common evidence; summarize aggregate results.</w:t>
            </w:r>
          </w:p>
        </w:tc>
        <w:tc>
          <w:tcPr>
            <w:tcW w:type="dxa" w:w="23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20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MOS and technology</w:t>
            </w:r>
          </w:p>
        </w:tc>
        <w:tc>
          <w:tcPr>
            <w:tcW w:type="dxa" w:w="56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Coordinate exam logistics, software access, and contingency plans.</w:t>
            </w:r>
          </w:p>
        </w:tc>
        <w:tc>
          <w:tcPr>
            <w:tcW w:type="dxa" w:w="237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Course changes</w:t>
            </w:r>
          </w:p>
        </w:tc>
        <w:tc>
          <w:tcPr>
            <w:tcW w:type="dxa" w:w="56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Prepare evidence and proposal; route formal changes through approved process.</w:t>
            </w:r>
          </w:p>
        </w:tc>
        <w:tc>
          <w:tcPr>
            <w:tcW w:type="dxa" w:w="23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20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Resources</w:t>
            </w:r>
          </w:p>
        </w:tc>
        <w:tc>
          <w:tcPr>
            <w:tcW w:type="dxa" w:w="56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Request instructional support; track cost, accessibility, and licensing concerns.</w:t>
            </w:r>
          </w:p>
        </w:tc>
        <w:tc>
          <w:tcPr>
            <w:tcW w:type="dxa" w:w="237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bl>
    <w:p/>
    <w:p>
      <w:r>
        <w:t>Term: [enter]  |  Reporting line: [enter]  |  Instructors and sections: [enter]  |  Meeting cadence: [enter]  |  Shared folder owner: [enter]  |  Decision log owner: [enter]</w:t>
      </w:r>
    </w:p>
    <w:p>
      <w:r>
        <w:t>Boundaries to confirm: Does “supervisor” include observation or evaluation of faculty, grade appeals, budget, hiring, or mandatory teaching methods? Do not assume those powers from the title. Record where issues should be referred.</w:t>
      </w:r>
    </w:p>
    <w:p>
      <w:pPr>
        <w:pStyle w:val="Heading1"/>
      </w:pPr>
      <w:r>
        <w:t>3 Evidence intake and version control</w:t>
      </w:r>
    </w:p>
    <w:p>
      <w:r>
        <w:t>Use the latest approved course sources. Preserve copies of the documents audited with term, owner, and date. Remove student identifiers before any AI review; use aggregate results or approved deidentified work.</w:t>
      </w:r>
    </w:p>
    <w:tbl>
      <w:tblPr>
        <w:tblW w:type="auto" w:w="0"/>
        <w:jc w:val="center"/>
        <w:tblLayout w:type="fixed"/>
        <w:tblLook w:firstColumn="1" w:firstRow="1" w:lastColumn="0" w:lastRow="0" w:noHBand="0" w:noVBand="1" w:val="04A0"/>
      </w:tblPr>
      <w:tblGrid>
        <w:gridCol w:w="4536"/>
        <w:gridCol w:w="2880"/>
        <w:gridCol w:w="2592"/>
      </w:tblGrid>
      <w:tr>
        <w:trPr>
          <w:tblHeader/>
        </w:trPr>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Evidence item</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Owner or location</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Version / received</w:t>
            </w:r>
          </w:p>
        </w:tc>
      </w:tr>
      <w:tr>
        <w:tc>
          <w:tcPr>
            <w:tcW w:type="dxa" w:w="45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Official catalog and course outcomes</w:t>
            </w:r>
          </w:p>
        </w:tc>
        <w:tc>
          <w:tcPr>
            <w:tcW w:type="dxa" w:w="28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Catalog</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2026–2027 / [check]</w:t>
            </w:r>
          </w:p>
        </w:tc>
      </w:tr>
      <w:tr>
        <w:tc>
          <w:tcPr>
            <w:tcW w:type="dxa" w:w="453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Approved ISA PLO and master map</w:t>
            </w:r>
          </w:p>
        </w:tc>
        <w:tc>
          <w:tcPr>
            <w:tcW w:type="dxa" w:w="28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[Program director]</w:t>
            </w:r>
          </w:p>
        </w:tc>
        <w:tc>
          <w:tcPr>
            <w:tcW w:type="dxa" w:w="25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45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Each section syllabus and Canvas outline</w:t>
            </w:r>
          </w:p>
        </w:tc>
        <w:tc>
          <w:tcPr>
            <w:tcW w:type="dxa" w:w="28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[Instructor / section]</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453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Assignments, exams, rubrics, sample work</w:t>
            </w:r>
          </w:p>
        </w:tc>
        <w:tc>
          <w:tcPr>
            <w:tcW w:type="dxa" w:w="28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[Instructor / section]</w:t>
            </w:r>
          </w:p>
        </w:tc>
        <w:tc>
          <w:tcPr>
            <w:tcW w:type="dxa" w:w="25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45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MOS exam, prep, attempt and result process</w:t>
            </w:r>
          </w:p>
        </w:tc>
        <w:tc>
          <w:tcPr>
            <w:tcW w:type="dxa" w:w="28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[Course team]</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453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Aggregate grades, retention, feedback, AoL</w:t>
            </w:r>
          </w:p>
        </w:tc>
        <w:tc>
          <w:tcPr>
            <w:tcW w:type="dxa" w:w="28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[Approved data custodian]</w:t>
            </w:r>
          </w:p>
        </w:tc>
        <w:tc>
          <w:tcPr>
            <w:tcW w:type="dxa" w:w="25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453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Software, textbook, cost and accessibility</w:t>
            </w:r>
          </w:p>
        </w:tc>
        <w:tc>
          <w:tcPr>
            <w:tcW w:type="dxa" w:w="28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[Course team]</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453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Employer / advisory board and tool sources</w:t>
            </w:r>
          </w:p>
        </w:tc>
        <w:tc>
          <w:tcPr>
            <w:tcW w:type="dxa" w:w="28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[Program director]</w:t>
            </w:r>
          </w:p>
        </w:tc>
        <w:tc>
          <w:tcPr>
            <w:tcW w:type="dxa" w:w="25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bl>
    <w:p/>
    <w:p>
      <w:r>
        <w:t>Version convention: ISA2010_[term]_[artifact]_[v number]_[owner]. Example: ISA2010_Fall2026_CommonRubric_v1_Faculty. Keep a dated change log so instructors know which file governs an upcoming term.</w:t>
      </w:r>
    </w:p>
    <w:p>
      <w:pPr>
        <w:pStyle w:val="Heading1"/>
      </w:pPr>
      <w:r>
        <w:t>4 Define the common course baseline</w:t>
      </w:r>
    </w:p>
    <w:p>
      <w:r>
        <w:t>The baseline should specify the minimum student experience without requiring identical lectures. Record what must be common, where instructors can choose, and who decides exceptions.</w:t>
      </w:r>
    </w:p>
    <w:tbl>
      <w:tblPr>
        <w:tblW w:type="auto" w:w="0"/>
        <w:jc w:val="center"/>
        <w:tblLayout w:type="fixed"/>
        <w:tblLook w:firstColumn="1" w:firstRow="1" w:lastColumn="0" w:lastRow="0" w:noHBand="0" w:noVBand="1" w:val="04A0"/>
      </w:tblPr>
      <w:tblGrid>
        <w:gridCol w:w="2088"/>
        <w:gridCol w:w="4680"/>
        <w:gridCol w:w="3240"/>
      </w:tblGrid>
      <w:tr>
        <w:trPr>
          <w:tblHeader/>
        </w:trPr>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Component</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Common minimum to decide</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Faculty choice / open issue</w:t>
            </w:r>
          </w:p>
        </w:tc>
      </w:tr>
      <w:tr>
        <w:tc>
          <w:tcPr>
            <w:tcW w:type="dxa" w:w="208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Catalog outcomes</w:t>
            </w:r>
          </w:p>
        </w:tc>
        <w:tc>
          <w:tcPr>
            <w:tcW w:type="dxa" w:w="46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All four appear accurately in syllabus and are addressed.</w:t>
            </w:r>
          </w:p>
        </w:tc>
        <w:tc>
          <w:tcPr>
            <w:tcW w:type="dxa" w:w="324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How each is taught</w:t>
            </w:r>
          </w:p>
        </w:tc>
      </w:tr>
      <w:tr>
        <w:tc>
          <w:tcPr>
            <w:tcW w:type="dxa" w:w="208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Excel Expert</w:t>
            </w:r>
          </w:p>
        </w:tc>
        <w:tc>
          <w:tcPr>
            <w:tcW w:type="dxa" w:w="46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Preparation, actual testing opportunity and documented process.</w:t>
            </w:r>
          </w:p>
        </w:tc>
        <w:tc>
          <w:tcPr>
            <w:tcW w:type="dxa" w:w="324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Practice sequence and examples</w:t>
            </w:r>
          </w:p>
        </w:tc>
      </w:tr>
      <w:tr>
        <w:tc>
          <w:tcPr>
            <w:tcW w:type="dxa" w:w="208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Business application</w:t>
            </w:r>
          </w:p>
        </w:tc>
        <w:tc>
          <w:tcPr>
            <w:tcW w:type="dxa" w:w="46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At least one authentic cross functional data decision task.</w:t>
            </w:r>
          </w:p>
        </w:tc>
        <w:tc>
          <w:tcPr>
            <w:tcW w:type="dxa" w:w="324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Industry or major context</w:t>
            </w:r>
          </w:p>
        </w:tc>
      </w:tr>
      <w:tr>
        <w:tc>
          <w:tcPr>
            <w:tcW w:type="dxa" w:w="208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Data and dashboard</w:t>
            </w:r>
          </w:p>
        </w:tc>
        <w:tc>
          <w:tcPr>
            <w:tcW w:type="dxa" w:w="46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Visible evidence of transformation, checking and visualization.</w:t>
            </w:r>
          </w:p>
        </w:tc>
        <w:tc>
          <w:tcPr>
            <w:tcW w:type="dxa" w:w="324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Dataset and platform</w:t>
            </w:r>
          </w:p>
        </w:tc>
      </w:tr>
      <w:tr>
        <w:tc>
          <w:tcPr>
            <w:tcW w:type="dxa" w:w="208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Career exploration</w:t>
            </w:r>
          </w:p>
        </w:tc>
        <w:tc>
          <w:tcPr>
            <w:tcW w:type="dxa" w:w="46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 short artifact connecting course skills to opportunities.</w:t>
            </w:r>
          </w:p>
        </w:tc>
        <w:tc>
          <w:tcPr>
            <w:tcW w:type="dxa" w:w="324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Career example or prompt</w:t>
            </w:r>
          </w:p>
        </w:tc>
      </w:tr>
      <w:tr>
        <w:tc>
          <w:tcPr>
            <w:tcW w:type="dxa" w:w="208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Assessment</w:t>
            </w:r>
          </w:p>
        </w:tc>
        <w:tc>
          <w:tcPr>
            <w:tcW w:type="dxa" w:w="46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Common criteria and comparable evidence for chosen CLOs.</w:t>
            </w:r>
          </w:p>
        </w:tc>
        <w:tc>
          <w:tcPr>
            <w:tcW w:type="dxa" w:w="324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Formative activities</w:t>
            </w:r>
          </w:p>
        </w:tc>
      </w:tr>
      <w:tr>
        <w:tc>
          <w:tcPr>
            <w:tcW w:type="dxa" w:w="208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AI and integrity</w:t>
            </w:r>
          </w:p>
        </w:tc>
        <w:tc>
          <w:tcPr>
            <w:tcW w:type="dxa" w:w="46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Clear permitted use and validation expectations.</w:t>
            </w:r>
          </w:p>
        </w:tc>
        <w:tc>
          <w:tcPr>
            <w:tcW w:type="dxa" w:w="324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Supplemental AI activities</w:t>
            </w:r>
          </w:p>
        </w:tc>
      </w:tr>
      <w:tr>
        <w:tc>
          <w:tcPr>
            <w:tcW w:type="dxa" w:w="208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Access</w:t>
            </w:r>
          </w:p>
        </w:tc>
        <w:tc>
          <w:tcPr>
            <w:tcW w:type="dxa" w:w="46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Works for assigned devices, support and accommodations.</w:t>
            </w:r>
          </w:p>
        </w:tc>
        <w:tc>
          <w:tcPr>
            <w:tcW w:type="dxa" w:w="324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Equivalent tool pathway</w:t>
            </w:r>
          </w:p>
        </w:tc>
      </w:tr>
    </w:tbl>
    <w:p/>
    <w:p>
      <w:r>
        <w:t>Check the actual Utah Tech syllabus requirements when building a shared template. Required academic integrity wording cannot simply be rewritten for an AI policy; append course specific instructions consistent with university policy.</w:t>
      </w:r>
    </w:p>
    <w:p>
      <w:pPr>
        <w:pStyle w:val="Heading1"/>
      </w:pPr>
      <w:r>
        <w:t>5 Outcome and assessment map template</w:t>
      </w:r>
    </w:p>
    <w:p>
      <w:r>
        <w:t>For each outcome, trace instruction to direct evidence and record where students encounter related skills later. Utah Tech uses introduce, develop, and master as curriculum mapping levels. The levels below are hypotheses until faculty approve the master map.</w:t>
      </w:r>
    </w:p>
    <w:tbl>
      <w:tblPr>
        <w:tblW w:type="auto" w:w="0"/>
        <w:jc w:val="center"/>
        <w:tblLayout w:type="fixed"/>
        <w:tblLook w:firstColumn="1" w:firstRow="1" w:lastColumn="0" w:lastRow="0" w:noHBand="0" w:noVBand="1" w:val="04A0"/>
      </w:tblPr>
      <w:tblGrid>
        <w:gridCol w:w="1872"/>
        <w:gridCol w:w="2304"/>
        <w:gridCol w:w="2448"/>
        <w:gridCol w:w="3384"/>
      </w:tblGrid>
      <w:tr>
        <w:trPr>
          <w:tblHeader/>
        </w:trPr>
        <w:tc>
          <w:tcPr>
            <w:tcW w:type="dxa" w:w="2513"/>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CLO</w:t>
            </w:r>
          </w:p>
        </w:tc>
        <w:tc>
          <w:tcPr>
            <w:tcW w:type="dxa" w:w="2513"/>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PLO link and level</w:t>
            </w:r>
          </w:p>
        </w:tc>
        <w:tc>
          <w:tcPr>
            <w:tcW w:type="dxa" w:w="2513"/>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Practice</w:t>
            </w:r>
          </w:p>
        </w:tc>
        <w:tc>
          <w:tcPr>
            <w:tcW w:type="dxa" w:w="2513"/>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Direct evidence / result</w:t>
            </w:r>
          </w:p>
        </w:tc>
      </w:tr>
      <w:tr>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1 Spreadsheet model</w:t>
            </w:r>
          </w:p>
        </w:tc>
        <w:tc>
          <w:tcPr>
            <w:tcW w:type="dxa" w:w="23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[Approved PLO; I or D]</w:t>
            </w:r>
          </w:p>
        </w:tc>
        <w:tc>
          <w:tcPr>
            <w:tcW w:type="dxa" w:w="244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33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[Assignment, rubric row, metric]</w:t>
            </w:r>
          </w:p>
        </w:tc>
      </w:tr>
      <w:tr>
        <w:tc>
          <w:tcPr>
            <w:tcW w:type="dxa" w:w="187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2 Connect and transform</w:t>
            </w:r>
          </w:p>
        </w:tc>
        <w:tc>
          <w:tcPr>
            <w:tcW w:type="dxa" w:w="230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[Approved PLO; I or D]</w:t>
            </w:r>
          </w:p>
        </w:tc>
        <w:tc>
          <w:tcPr>
            <w:tcW w:type="dxa" w:w="244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338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[Assignment, rubric row, metric]</w:t>
            </w:r>
          </w:p>
        </w:tc>
      </w:tr>
      <w:tr>
        <w:tc>
          <w:tcPr>
            <w:tcW w:type="dxa" w:w="18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3 Dashboard and workbook</w:t>
            </w:r>
          </w:p>
        </w:tc>
        <w:tc>
          <w:tcPr>
            <w:tcW w:type="dxa" w:w="23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[Approved PLO; I or D]</w:t>
            </w:r>
          </w:p>
        </w:tc>
        <w:tc>
          <w:tcPr>
            <w:tcW w:type="dxa" w:w="244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33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[Assignment, rubric row, metric]</w:t>
            </w:r>
          </w:p>
        </w:tc>
      </w:tr>
      <w:tr>
        <w:tc>
          <w:tcPr>
            <w:tcW w:type="dxa" w:w="187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4 Career exploration</w:t>
            </w:r>
          </w:p>
        </w:tc>
        <w:tc>
          <w:tcPr>
            <w:tcW w:type="dxa" w:w="230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[Approved PLO; I or D]</w:t>
            </w:r>
          </w:p>
        </w:tc>
        <w:tc>
          <w:tcPr>
            <w:tcW w:type="dxa" w:w="244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338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[Artifact and criterion]</w:t>
            </w:r>
          </w:p>
        </w:tc>
      </w:tr>
    </w:tbl>
    <w:p/>
    <w:p>
      <w:r>
        <w:t>Follow up: ISA 2050 emphasizes SQL, Python and visualization, while ISA 4070 emphasizes data visualization and storytelling. Agree what students must already know entering those courses and what later instructors will develop. Do not overload ISA 2010 with upper division mastery requirements.</w:t>
      </w:r>
    </w:p>
    <w:p>
      <w:pPr>
        <w:pStyle w:val="Heading2"/>
      </w:pPr>
      <w:r>
        <w:t>Common assessment design</w:t>
      </w:r>
    </w:p>
    <w:p>
      <w:pPr>
        <w:pStyle w:val="ListBullet"/>
      </w:pPr>
      <w:r>
        <w:t>Choose one existing task that can produce direct evidence across sections; do not add a second assessment merely for reporting.</w:t>
      </w:r>
    </w:p>
    <w:p>
      <w:pPr>
        <w:pStyle w:val="ListBullet"/>
      </w:pPr>
      <w:r>
        <w:t>Score a few shared rubric dimensions, such as data preparation accuracy, formula/model quality, visual accuracy, business recommendation, and verification. Map each dimension to a specific CLO/PLO.</w:t>
      </w:r>
    </w:p>
    <w:p>
      <w:pPr>
        <w:pStyle w:val="ListBullet"/>
      </w:pPr>
      <w:r>
        <w:t>Specify a common performance threshold and sampling method with the assessment lead. Keep MOS pass/attempt results separate from demonstration of broader business analysis unless the approved map says otherwise.</w:t>
      </w:r>
    </w:p>
    <w:p>
      <w:pPr>
        <w:pStyle w:val="ListBullet"/>
      </w:pPr>
      <w:r>
        <w:t>After grading, compare sections by criterion and look at student work to explain differences. Document action taken and reassess the criterion next offering.</w:t>
      </w:r>
    </w:p>
    <w:p>
      <w:pPr>
        <w:pStyle w:val="Heading1"/>
      </w:pPr>
      <w:r>
        <w:t>6 Currency audit and decision register</w:t>
      </w:r>
    </w:p>
    <w:p>
      <w:r>
        <w:t>Run the existing Curriculum Currency Auditor on the collected materials, then hold a short faculty review. Start with evidence inside the course; compare it with current official software requirements, program priorities, and advisory board or employer signals. Do not allow AI to invent missing evidence.</w:t>
      </w:r>
    </w:p>
    <w:tbl>
      <w:tblPr>
        <w:tblW w:type="auto" w:w="0"/>
        <w:jc w:val="center"/>
        <w:tblLayout w:type="fixed"/>
        <w:tblLook w:firstColumn="1" w:firstRow="1" w:lastColumn="0" w:lastRow="0" w:noHBand="0" w:noVBand="1" w:val="04A0"/>
      </w:tblPr>
      <w:tblGrid>
        <w:gridCol w:w="2016"/>
        <w:gridCol w:w="7992"/>
      </w:tblGrid>
      <w:tr>
        <w:trPr>
          <w:tblHeader/>
        </w:trPr>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Audit lens</w:t>
            </w:r>
          </w:p>
        </w:tc>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ISA 2010 question</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Curriculum</w:t>
            </w:r>
          </w:p>
        </w:tc>
        <w:tc>
          <w:tcPr>
            <w:tcW w:type="dxa" w:w="79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Do cases, datasets, workflows and software match the published course purpose?</w:t>
            </w:r>
          </w:p>
        </w:tc>
      </w:tr>
      <w:tr>
        <w:tc>
          <w:tcPr>
            <w:tcW w:type="dxa" w:w="20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Alignment</w:t>
            </w:r>
          </w:p>
        </w:tc>
        <w:tc>
          <w:tcPr>
            <w:tcW w:type="dxa" w:w="79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Where is each CLO taught, practiced and assessed?</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MOS</w:t>
            </w:r>
          </w:p>
        </w:tc>
        <w:tc>
          <w:tcPr>
            <w:tcW w:type="dxa" w:w="79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Are students prepared for the stated Expert exam and able to access it?</w:t>
            </w:r>
          </w:p>
        </w:tc>
      </w:tr>
      <w:tr>
        <w:tc>
          <w:tcPr>
            <w:tcW w:type="dxa" w:w="20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Business decision</w:t>
            </w:r>
          </w:p>
        </w:tc>
        <w:tc>
          <w:tcPr>
            <w:tcW w:type="dxa" w:w="79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Can students move from data to a defensible recommendation?</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AI</w:t>
            </w:r>
          </w:p>
        </w:tc>
        <w:tc>
          <w:tcPr>
            <w:tcW w:type="dxa" w:w="79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Are independent skills visible, and are AI use and validation teachable?</w:t>
            </w:r>
          </w:p>
        </w:tc>
      </w:tr>
      <w:tr>
        <w:tc>
          <w:tcPr>
            <w:tcW w:type="dxa" w:w="20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Career</w:t>
            </w:r>
          </w:p>
        </w:tc>
        <w:tc>
          <w:tcPr>
            <w:tcW w:type="dxa" w:w="79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Can students describe a real application of their new skills?</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Delivery</w:t>
            </w:r>
          </w:p>
        </w:tc>
        <w:tc>
          <w:tcPr>
            <w:tcW w:type="dxa" w:w="79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Can students complete equivalent work across sections and devices?</w:t>
            </w:r>
          </w:p>
        </w:tc>
      </w:tr>
    </w:tbl>
    <w:p/>
    <w:p>
      <w:r>
        <w:t>Decision register: enter one row per finding. KEEP = working well; UPDATE = retain but improve; ADD = validated gap; REMOVE = obsolete or redundant after checking required coverage; VERIFY = evidence missing or inconsistent.</w:t>
      </w:r>
    </w:p>
    <w:tbl>
      <w:tblPr>
        <w:tblW w:type="auto" w:w="0"/>
        <w:jc w:val="center"/>
        <w:tblLayout w:type="fixed"/>
        <w:tblLook w:firstColumn="1" w:firstRow="1" w:lastColumn="0" w:lastRow="0" w:noHBand="0" w:noVBand="1" w:val="04A0"/>
      </w:tblPr>
      <w:tblGrid>
        <w:gridCol w:w="2880"/>
        <w:gridCol w:w="2232"/>
        <w:gridCol w:w="2592"/>
        <w:gridCol w:w="2304"/>
      </w:tblGrid>
      <w:tr>
        <w:trPr>
          <w:tblHeader/>
        </w:trPr>
        <w:tc>
          <w:tcPr>
            <w:tcW w:type="dxa" w:w="2513"/>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Finding / source</w:t>
            </w:r>
          </w:p>
        </w:tc>
        <w:tc>
          <w:tcPr>
            <w:tcW w:type="dxa" w:w="2513"/>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CLO and impact</w:t>
            </w:r>
          </w:p>
        </w:tc>
        <w:tc>
          <w:tcPr>
            <w:tcW w:type="dxa" w:w="2513"/>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Decision / owner / date</w:t>
            </w:r>
          </w:p>
        </w:tc>
        <w:tc>
          <w:tcPr>
            <w:tcW w:type="dxa" w:w="2513"/>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Approval / follow up</w:t>
            </w:r>
          </w:p>
        </w:tc>
      </w:tr>
      <w:tr>
        <w:tc>
          <w:tcPr>
            <w:tcW w:type="dxa" w:w="28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23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3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288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23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30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p>
        </w:tc>
      </w:tr>
      <w:tr>
        <w:tc>
          <w:tcPr>
            <w:tcW w:type="dxa" w:w="288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23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3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p>
        </w:tc>
      </w:tr>
    </w:tbl>
    <w:p/>
    <w:p>
      <w:pPr>
        <w:pStyle w:val="Heading1"/>
      </w:pPr>
      <w:r>
        <w:t>7 MOS and technology review</w:t>
      </w:r>
    </w:p>
    <w:p>
      <w:r>
        <w:t>The catalog explicitly says students prepare for and take the MOS Excel Expert certification. Treat this as a required course element while checking the current exam version and delivery details with the program and testing staff. Preserve time for real business applications alongside exam practice.</w:t>
      </w:r>
    </w:p>
    <w:tbl>
      <w:tblPr>
        <w:tblW w:type="auto" w:w="0"/>
        <w:jc w:val="center"/>
        <w:tblLayout w:type="fixed"/>
        <w:tblLook w:firstColumn="1" w:firstRow="1" w:lastColumn="0" w:lastRow="0" w:noHBand="0" w:noVBand="1" w:val="04A0"/>
      </w:tblPr>
      <w:tblGrid>
        <w:gridCol w:w="2016"/>
        <w:gridCol w:w="7992"/>
      </w:tblGrid>
      <w:tr>
        <w:trPr>
          <w:tblHeader/>
        </w:trPr>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Control</w:t>
            </w:r>
          </w:p>
        </w:tc>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Question / record</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Exam logistics</w:t>
            </w:r>
          </w:p>
        </w:tc>
        <w:tc>
          <w:tcPr>
            <w:tcW w:type="dxa" w:w="79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Current exam version, testing vendor, vouchers, fees, retakes, accommodations, scheduling and owner: [enter]</w:t>
            </w:r>
          </w:p>
        </w:tc>
      </w:tr>
      <w:tr>
        <w:tc>
          <w:tcPr>
            <w:tcW w:type="dxa" w:w="20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Practice</w:t>
            </w:r>
          </w:p>
        </w:tc>
        <w:tc>
          <w:tcPr>
            <w:tcW w:type="dxa" w:w="79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Diagnostic, practice milestones, targeted feedback, and exam date: [enter]</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Technology</w:t>
            </w:r>
          </w:p>
        </w:tc>
        <w:tc>
          <w:tcPr>
            <w:tcW w:type="dxa" w:w="79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Excel version, Windows / Mac differences, campus lab or remote access, files and licensing: [enter]</w:t>
            </w:r>
          </w:p>
        </w:tc>
      </w:tr>
      <w:tr>
        <w:tc>
          <w:tcPr>
            <w:tcW w:type="dxa" w:w="201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Outcome measurement</w:t>
            </w:r>
          </w:p>
        </w:tc>
        <w:tc>
          <w:tcPr>
            <w:tcW w:type="dxa" w:w="79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Attempt rate, pass rate, preparedness and key skill evidence by section: [enter]</w:t>
            </w:r>
          </w:p>
        </w:tc>
      </w:tr>
      <w:tr>
        <w:tc>
          <w:tcPr>
            <w:tcW w:type="dxa" w:w="201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Contingency</w:t>
            </w:r>
          </w:p>
        </w:tc>
        <w:tc>
          <w:tcPr>
            <w:tcW w:type="dxa" w:w="79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If device, accessibility or testing issues arise, who resolves them and how? [enter]</w:t>
            </w:r>
          </w:p>
        </w:tc>
      </w:tr>
    </w:tbl>
    <w:p/>
    <w:p>
      <w:r>
        <w:t>Clarify how an unsuccessful certification attempt affects the course grade or requirement, and use the approved syllabus language. Do not infer a pass requirement from the catalog wording alone.</w:t>
      </w:r>
    </w:p>
    <w:p>
      <w:pPr>
        <w:pStyle w:val="Heading1"/>
      </w:pPr>
      <w:r>
        <w:t>8 Instructor coordination and student experience</w:t>
      </w:r>
    </w:p>
    <w:p>
      <w:r>
        <w:t>Use a predictable cycle: preterm alignment meeting, one short monthly check in, and postterm evidence review. Provide a shared folder containing an approved syllabus framework, CLO map, sample datasets, common rubrics, MOS schedule, accessibility guidance, and a decision log. Keep instructor autonomy visible in the charter.</w:t>
      </w:r>
    </w:p>
    <w:tbl>
      <w:tblPr>
        <w:tblW w:type="auto" w:w="0"/>
        <w:jc w:val="center"/>
        <w:tblLayout w:type="fixed"/>
        <w:tblLook w:firstColumn="1" w:firstRow="1" w:lastColumn="0" w:lastRow="0" w:noHBand="0" w:noVBand="1" w:val="04A0"/>
      </w:tblPr>
      <w:tblGrid>
        <w:gridCol w:w="2448"/>
        <w:gridCol w:w="7560"/>
      </w:tblGrid>
      <w:tr>
        <w:trPr>
          <w:tblHeader/>
        </w:trPr>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Meeting</w:t>
            </w:r>
          </w:p>
        </w:tc>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Questions and output</w:t>
            </w:r>
          </w:p>
        </w:tc>
      </w:tr>
      <w:tr>
        <w:tc>
          <w:tcPr>
            <w:tcW w:type="dxa" w:w="244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Preterm 45 minutes</w:t>
            </w:r>
          </w:p>
        </w:tc>
        <w:tc>
          <w:tcPr>
            <w:tcW w:type="dxa" w:w="75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Confirm baseline, software, MOS, common assessment, AI rule, and open issues. Output: versioned course plan.</w:t>
            </w:r>
          </w:p>
        </w:tc>
      </w:tr>
      <w:tr>
        <w:tc>
          <w:tcPr>
            <w:tcW w:type="dxa" w:w="244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Monthly 25 minutes</w:t>
            </w:r>
          </w:p>
        </w:tc>
        <w:tc>
          <w:tcPr>
            <w:tcW w:type="dxa" w:w="7560"/>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Which concept is hardest? Are students encountering device or access problems? Output: action log.</w:t>
            </w:r>
          </w:p>
        </w:tc>
      </w:tr>
      <w:tr>
        <w:tc>
          <w:tcPr>
            <w:tcW w:type="dxa" w:w="244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Postterm 60 minutes</w:t>
            </w:r>
          </w:p>
        </w:tc>
        <w:tc>
          <w:tcPr>
            <w:tcW w:type="dxa" w:w="7560"/>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What did each CLO result show? What will change next offering? Output: brief close the loop memo.</w:t>
            </w:r>
          </w:p>
        </w:tc>
      </w:tr>
    </w:tbl>
    <w:p/>
    <w:p>
      <w:r>
        <w:t>Students should see a simple path: foundational Excel skill → clean and analyze a business dataset → communicate insight → explain the skill in career language. Sample assignment directions should state the business question, input files, steps, deliverable, criteria, AI permission, and where to get help.</w:t>
      </w:r>
    </w:p>
    <w:p>
      <w:pPr>
        <w:pStyle w:val="Heading1"/>
      </w:pPr>
      <w:r>
        <w:t>9 AI use in ISA 2010</w:t>
      </w:r>
    </w:p>
    <w:p>
      <w:r>
        <w:t>Pilot AI inside an existing assignment. Example: a sales workbook contains inconsistent dates, duplicates and missing values. A student first documents the business question and performs independent checks. They may ask an approved AI tool for possible cleaning checks or chart options, then test every suggestion against the data. The submission includes a workbook, decision note, and brief AI verification record.</w:t>
      </w:r>
    </w:p>
    <w:tbl>
      <w:tblPr>
        <w:tblW w:type="auto" w:w="0"/>
        <w:jc w:val="center"/>
        <w:tblLayout w:type="fixed"/>
        <w:tblLook w:firstColumn="1" w:firstRow="1" w:lastColumn="0" w:lastRow="0" w:noHBand="0" w:noVBand="1" w:val="04A0"/>
      </w:tblPr>
      <w:tblGrid>
        <w:gridCol w:w="3312"/>
        <w:gridCol w:w="3312"/>
        <w:gridCol w:w="3384"/>
      </w:tblGrid>
      <w:tr>
        <w:trPr>
          <w:tblHeader/>
        </w:trPr>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Student does independently</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AI may assist</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Student must validate</w:t>
            </w:r>
          </w:p>
        </w:tc>
      </w:tr>
      <w:tr>
        <w:tc>
          <w:tcPr>
            <w:tcW w:type="dxa" w:w="33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Define problem; inspect data; build key formulas; explain the model.</w:t>
            </w:r>
          </w:p>
        </w:tc>
        <w:tc>
          <w:tcPr>
            <w:tcW w:type="dxa" w:w="33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Suggest a cleaning checklist, alternative formulas, chart critique, or draft structure.</w:t>
            </w:r>
          </w:p>
        </w:tc>
        <w:tc>
          <w:tcPr>
            <w:tcW w:type="dxa" w:w="33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Recalculate numbers, inspect transformed rows, reject unsupported claims, cite inputs.</w:t>
            </w:r>
          </w:p>
        </w:tc>
      </w:tr>
    </w:tbl>
    <w:p/>
    <w:p>
      <w:r>
        <w:t>Proposed rubric dimensions: 30% data accuracy and traceable cleaning; 25% spreadsheet model; 20% dashboard clarity; 15% business recommendation; 10% verification and responsible tool use. These are a prototype only, not an approved course grading scheme. Review the assessment’s fit with the MOS and published outcomes before adoption.</w:t>
      </w:r>
    </w:p>
    <w:p>
      <w:r>
        <w:t>Use synthetic or authorized data in public AI services. Establish a tool access alternative, clear disclosure directions, and a method to assess the student’s own competence. Coordinate course language with institutional academic integrity guidance.</w:t>
      </w:r>
    </w:p>
    <w:p>
      <w:pPr>
        <w:pStyle w:val="Heading1"/>
      </w:pPr>
      <w:r>
        <w:t>10 Change control and reporting</w:t>
      </w:r>
    </w:p>
    <w:tbl>
      <w:tblPr>
        <w:tblW w:type="auto" w:w="0"/>
        <w:jc w:val="center"/>
        <w:tblLayout w:type="fixed"/>
        <w:tblLook w:firstColumn="1" w:firstRow="1" w:lastColumn="0" w:lastRow="0" w:noHBand="0" w:noVBand="1" w:val="04A0"/>
      </w:tblPr>
      <w:tblGrid>
        <w:gridCol w:w="3024"/>
        <w:gridCol w:w="6984"/>
      </w:tblGrid>
      <w:tr>
        <w:trPr>
          <w:tblHeader/>
        </w:trPr>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Type of change</w:t>
            </w:r>
          </w:p>
        </w:tc>
        <w:tc>
          <w:tcPr>
            <w:tcW w:type="dxa" w:w="5026"/>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Proposed route</w:t>
            </w:r>
          </w:p>
        </w:tc>
      </w:tr>
      <w:tr>
        <w:tc>
          <w:tcPr>
            <w:tcW w:type="dxa" w:w="302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Instructional adjustment</w:t>
            </w:r>
          </w:p>
        </w:tc>
        <w:tc>
          <w:tcPr>
            <w:tcW w:type="dxa" w:w="69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Instructor and supervisor coordinate within the approved baseline; record the rationale.</w:t>
            </w:r>
          </w:p>
        </w:tc>
      </w:tr>
      <w:tr>
        <w:tc>
          <w:tcPr>
            <w:tcW w:type="dxa" w:w="302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Common assignment or rubric</w:t>
            </w:r>
          </w:p>
        </w:tc>
        <w:tc>
          <w:tcPr>
            <w:tcW w:type="dxa" w:w="698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ISA faculty and program director review; confirm assessment implications.</w:t>
            </w:r>
          </w:p>
        </w:tc>
      </w:tr>
      <w:tr>
        <w:tc>
          <w:tcPr>
            <w:tcW w:type="dxa" w:w="302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Catalog description, CLO, prerequisite or fee</w:t>
            </w:r>
          </w:p>
        </w:tc>
        <w:tc>
          <w:tcPr>
            <w:tcW w:type="dxa" w:w="69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Prepare evidence and coordinate formal CIM and college/university approval route.</w:t>
            </w:r>
          </w:p>
        </w:tc>
      </w:tr>
      <w:tr>
        <w:tc>
          <w:tcPr>
            <w:tcW w:type="dxa" w:w="302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Program PLO or master map</w:t>
            </w:r>
          </w:p>
        </w:tc>
        <w:tc>
          <w:tcPr>
            <w:tcW w:type="dxa" w:w="698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Resolve with program director and assessment leadership before publishing new mapping.</w:t>
            </w:r>
          </w:p>
        </w:tc>
      </w:tr>
    </w:tbl>
    <w:p/>
    <w:p>
      <w:r>
        <w:t>Utah Tech’s published course change path moves through the department, College Curriculum Committee, University Curriculum Committee and Academic Council. Ask leadership which decisions may be implemented immediately and which need that formal process.</w:t>
      </w:r>
    </w:p>
    <w:p>
      <w:pPr>
        <w:pStyle w:val="Heading2"/>
      </w:pPr>
      <w:r>
        <w:t>Semester report template</w:t>
      </w:r>
    </w:p>
    <w:p>
      <w:r>
        <w:t>Term / sections / students: [enter]  |  Faculty: [enter]  |  Course version: [enter]</w:t>
      </w:r>
    </w:p>
    <w:p>
      <w:pPr>
        <w:pStyle w:val="ListBullet"/>
      </w:pPr>
      <w:r>
        <w:t>CLO evidence: report the metric, sample and result for each assessed outcome; explain missing data.</w:t>
      </w:r>
    </w:p>
    <w:p>
      <w:pPr>
        <w:pStyle w:val="ListBullet"/>
      </w:pPr>
      <w:r>
        <w:t>MOS: report attempts, passes, access barriers and the context needed to interpret results.</w:t>
      </w:r>
    </w:p>
    <w:p>
      <w:pPr>
        <w:pStyle w:val="ListBullet"/>
      </w:pPr>
      <w:r>
        <w:t>Student experience: summarize recurring barriers, including software and accessibility.</w:t>
      </w:r>
    </w:p>
    <w:p>
      <w:pPr>
        <w:pStyle w:val="ListBullet"/>
      </w:pPr>
      <w:r>
        <w:t>Changes implemented: record dates, owners, faculty agreement and approval route.</w:t>
      </w:r>
    </w:p>
    <w:p>
      <w:pPr>
        <w:pStyle w:val="ListBullet"/>
      </w:pPr>
      <w:r>
        <w:t>Effect of last changes: state what improved, what did not, and what evidence supports the conclusion.</w:t>
      </w:r>
    </w:p>
    <w:p>
      <w:pPr>
        <w:pStyle w:val="ListBullet"/>
      </w:pPr>
      <w:r>
        <w:t>Next actions: list no more than five decisions with owner, due date and verification method.</w:t>
      </w:r>
    </w:p>
    <w:p>
      <w:pPr>
        <w:pStyle w:val="Heading1"/>
      </w:pPr>
      <w:r>
        <w:t>11 First 90 days</w:t>
      </w:r>
    </w:p>
    <w:tbl>
      <w:tblPr>
        <w:tblW w:type="auto" w:w="0"/>
        <w:jc w:val="center"/>
        <w:tblLayout w:type="fixed"/>
        <w:tblLook w:firstColumn="1" w:firstRow="1" w:lastColumn="0" w:lastRow="0" w:noHBand="0" w:noVBand="1" w:val="04A0"/>
      </w:tblPr>
      <w:tblGrid>
        <w:gridCol w:w="1296"/>
        <w:gridCol w:w="5184"/>
        <w:gridCol w:w="3528"/>
      </w:tblGrid>
      <w:tr>
        <w:trPr>
          <w:tblHeader/>
        </w:trPr>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By when</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Concrete action</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Completion evidence</w:t>
            </w:r>
          </w:p>
        </w:tc>
      </w:tr>
      <w:tr>
        <w:tc>
          <w:tcPr>
            <w:tcW w:type="dxa" w:w="129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Day 10</w:t>
            </w:r>
          </w:p>
        </w:tc>
        <w:tc>
          <w:tcPr>
            <w:tcW w:type="dxa" w:w="51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Confirm charter; request current materials and official PLO map.</w:t>
            </w:r>
          </w:p>
        </w:tc>
        <w:tc>
          <w:tcPr>
            <w:tcW w:type="dxa" w:w="352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Signed or recorded role charge; inventory</w:t>
            </w:r>
          </w:p>
        </w:tc>
      </w:tr>
      <w:tr>
        <w:tc>
          <w:tcPr>
            <w:tcW w:type="dxa" w:w="129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Day 25</w:t>
            </w:r>
          </w:p>
        </w:tc>
        <w:tc>
          <w:tcPr>
            <w:tcW w:type="dxa" w:w="518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Meet section instructors; build common baseline and MOS logistics map.</w:t>
            </w:r>
          </w:p>
        </w:tc>
        <w:tc>
          <w:tcPr>
            <w:tcW w:type="dxa" w:w="352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Baseline v1 and issue log</w:t>
            </w:r>
          </w:p>
        </w:tc>
      </w:tr>
      <w:tr>
        <w:tc>
          <w:tcPr>
            <w:tcW w:type="dxa" w:w="129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Day 45</w:t>
            </w:r>
          </w:p>
        </w:tc>
        <w:tc>
          <w:tcPr>
            <w:tcW w:type="dxa" w:w="51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Map four CLOs to tasks and rubrics; run evidence based audit.</w:t>
            </w:r>
          </w:p>
        </w:tc>
        <w:tc>
          <w:tcPr>
            <w:tcW w:type="dxa" w:w="352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Outcome map and draft findings</w:t>
            </w:r>
          </w:p>
        </w:tc>
      </w:tr>
      <w:tr>
        <w:tc>
          <w:tcPr>
            <w:tcW w:type="dxa" w:w="1296"/>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Day 60</w:t>
            </w:r>
          </w:p>
        </w:tc>
        <w:tc>
          <w:tcPr>
            <w:tcW w:type="dxa" w:w="518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Select one common assessment and one manageable AI pilot; resolve access issues.</w:t>
            </w:r>
          </w:p>
        </w:tc>
        <w:tc>
          <w:tcPr>
            <w:tcW w:type="dxa" w:w="3528"/>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Approved rubric and assignment directions</w:t>
            </w:r>
          </w:p>
        </w:tc>
      </w:tr>
      <w:tr>
        <w:tc>
          <w:tcPr>
            <w:tcW w:type="dxa" w:w="129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Day 90</w:t>
            </w:r>
          </w:p>
        </w:tc>
        <w:tc>
          <w:tcPr>
            <w:tcW w:type="dxa" w:w="518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Review early student evidence; triage formal versus instructional changes.</w:t>
            </w:r>
          </w:p>
        </w:tc>
        <w:tc>
          <w:tcPr>
            <w:tcW w:type="dxa" w:w="352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Decision register and next term plan</w:t>
            </w:r>
          </w:p>
        </w:tc>
      </w:tr>
    </w:tbl>
    <w:p/>
    <w:p>
      <w:r>
        <w:t>The first success condition is modest: every instructor understands the required outcomes and common evidence, students can access the necessary tools and MOS process, and you can say what changed because of the review. Avoid a full course redesign before seeing the current materials.</w:t>
      </w:r>
    </w:p>
    <w:p>
      <w:pPr>
        <w:pStyle w:val="Heading1"/>
      </w:pPr>
      <w:r>
        <w:t>Sources and verification notes</w:t>
      </w:r>
    </w:p>
    <w:p>
      <w:pPr>
        <w:pStyle w:val="ListBullet"/>
      </w:pPr>
      <w:r>
        <w:t>Utah Tech University, 2026–2027 Catalog, ISA course descriptions. https://catalog.utahtech.edu/courses/isa/</w:t>
      </w:r>
    </w:p>
    <w:p>
      <w:pPr>
        <w:pStyle w:val="ListBullet"/>
      </w:pPr>
      <w:r>
        <w:t>Utah Tech University, 2026–2027 Catalog, Information Systems and Analytics BS and six PLOs. https://catalog.utahtech.edu/programs/accounting-finance-analytics/information-systems-and-analytics-bs/</w:t>
      </w:r>
    </w:p>
    <w:p>
      <w:pPr>
        <w:pStyle w:val="ListBullet"/>
      </w:pPr>
      <w:r>
        <w:t>Utah Tech ISA program website, five published PLOs, accessed 25 September 2026. https://isa.utahtech.edu/</w:t>
      </w:r>
    </w:p>
    <w:p>
      <w:pPr>
        <w:pStyle w:val="ListBullet"/>
      </w:pPr>
      <w:r>
        <w:t>Utah Tech College of Business Handbook, administrative roles and AoL, accessed 25 September 2026. https://colleges.utahtech.edu/business/cob-general-management-handbook/</w:t>
      </w:r>
    </w:p>
    <w:p>
      <w:pPr>
        <w:pStyle w:val="ListBullet"/>
      </w:pPr>
      <w:r>
        <w:t>Utah Tech Academic Assessment Model and Curriculum Mapping guidance, accessed 25 September 2026. https://assessment.utahtech.edu/academic-assessment-model/ and https://assessment.utahtech.edu/helpful-resources/curriculum-mapping/</w:t>
      </w:r>
    </w:p>
    <w:p>
      <w:pPr>
        <w:pStyle w:val="ListBullet"/>
      </w:pPr>
      <w:r>
        <w:t>Utah Tech syllabus elements and course change process, accessed 25 September 2026. https://employees.utahtech.edu/faculty-resources/required-elements-in-ut-syllabi/ and https://academics.utahtech.edu/new-curriculum-management/newchanges-to-curriculum/</w:t>
      </w:r>
    </w:p>
    <w:p>
      <w:r>
        <w:t>Source limit: publicly available pages do not establish your individual supervisor appointment, internal approved master map, current ISA 2010 syllabus, MOS implementation, or section outcomes. Replace the placeholders after obtaining those records. This guide should be reviewed against current university guidance before each new academic year.</w:t>
      </w:r>
    </w:p>
    <w:p>
      <w:pPr>
        <w:pStyle w:val="Heading1"/>
      </w:pPr>
      <w:r>
        <w:t>Kickoff meeting worksheet</w:t>
      </w:r>
    </w:p>
    <w:p>
      <w:r>
        <w:t>Date: [enter]  |  Chair: [enter]  |  ISA program director: [enter]  |  Course supervisor: [enter]</w:t>
      </w:r>
    </w:p>
    <w:tbl>
      <w:tblPr>
        <w:tblW w:type="auto" w:w="0"/>
        <w:jc w:val="center"/>
        <w:tblLayout w:type="fixed"/>
        <w:tblLook w:firstColumn="1" w:firstRow="1" w:lastColumn="0" w:lastRow="0" w:noHBand="0" w:noVBand="1" w:val="04A0"/>
      </w:tblPr>
      <w:tblGrid>
        <w:gridCol w:w="3312"/>
        <w:gridCol w:w="4104"/>
        <w:gridCol w:w="2592"/>
      </w:tblGrid>
      <w:tr>
        <w:trPr>
          <w:tblHeader/>
        </w:trPr>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Question</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Decision or evidence needed</w:t>
            </w:r>
          </w:p>
        </w:tc>
        <w:tc>
          <w:tcPr>
            <w:tcW w:type="dxa" w:w="3351"/>
            <w:vAlign w:val="center"/>
            <w:shd w:fill="17324D"/>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color w:val="FFFFFF"/>
                <w:sz w:val="17"/>
              </w:rPr>
              <w:t>Owner / due date</w:t>
            </w:r>
          </w:p>
        </w:tc>
      </w:tr>
      <w:tr>
        <w:tc>
          <w:tcPr>
            <w:tcW w:type="dxa" w:w="33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What exactly is delegated to the course supervisor?</w:t>
            </w:r>
          </w:p>
        </w:tc>
        <w:tc>
          <w:tcPr>
            <w:tcW w:type="dxa" w:w="41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331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Which PLO version and master map are approved?</w:t>
            </w:r>
          </w:p>
        </w:tc>
        <w:tc>
          <w:tcPr>
            <w:tcW w:type="dxa" w:w="410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33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What must remain common in every section?</w:t>
            </w:r>
          </w:p>
        </w:tc>
        <w:tc>
          <w:tcPr>
            <w:tcW w:type="dxa" w:w="41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331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Which assignment supplies AoL evidence?</w:t>
            </w:r>
          </w:p>
        </w:tc>
        <w:tc>
          <w:tcPr>
            <w:tcW w:type="dxa" w:w="410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331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Who owns MOS testing and access issues?</w:t>
            </w:r>
          </w:p>
        </w:tc>
        <w:tc>
          <w:tcPr>
            <w:tcW w:type="dxa" w:w="410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r>
        <w:tc>
          <w:tcPr>
            <w:tcW w:type="dxa" w:w="331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Which changes need formal approval?</w:t>
            </w:r>
          </w:p>
        </w:tc>
        <w:tc>
          <w:tcPr>
            <w:tcW w:type="dxa" w:w="4104"/>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c>
          <w:tcPr>
            <w:tcW w:type="dxa" w:w="2592"/>
            <w:vAlign w:val="center"/>
            <w:shd w:fill="F1F5F8"/>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0"/>
            </w:pPr>
            <w:r>
              <w:rPr>
                <w:b w:val="0"/>
                <w:color w:val="1B222A"/>
                <w:sz w:val="17"/>
              </w:rPr>
              <w:t>[Enter]</w:t>
            </w:r>
          </w:p>
        </w:tc>
      </w:tr>
    </w:tbl>
    <w:p/>
    <w:p>
      <w:r>
        <w:t>Next instructor meeting: [date]  |  Artifacts to request by then: [enter]  |  First audit review date: [enter]</w:t>
      </w:r>
    </w:p>
    <w:sectPr w:rsidR="00FC693F" w:rsidRPr="0006063C" w:rsidSect="00034616">
      <w:headerReference w:type="default" r:id="rId9"/>
      <w:footerReference w:type="default" r:id="rId10"/>
      <w:pgSz w:w="12240" w:h="15840"/>
      <w:pgMar w:top="979" w:right="1094" w:bottom="965"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Steven Bryan  •  Working draft  •  25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505A64"/>
        <w:sz w:val="16"/>
      </w:rPr>
      <w:t>ISA 2010  |  Course supervision working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B22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