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Curriculum Currency Auditor</w:t>
      </w:r>
    </w:p>
    <w:p>
      <w:r>
        <w:t>A reusable faculty review kit for course relevance, learning evidence, career skills, and responsible AI</w:t>
      </w:r>
    </w:p>
    <w:p>
      <w:r>
        <w:t>Developed by Steven Bryan  •  stevenbryan.online</w:t>
      </w:r>
    </w:p>
    <w:p>
      <w:r>
        <w:t>Use this kit to review one course at a time. It produces a sourced KEEP, UPDATE, ADD, or REMOVE decision for each proposed change, a map to program outcomes, and an action plan that faculty can approve. The AI organizes evidence and drafts recommendations; the instructor and program faculty make the academic decisions.</w:t>
      </w:r>
    </w:p>
    <w:p>
      <w:pPr>
        <w:pStyle w:val="Heading1"/>
      </w:pPr>
      <w:r>
        <w:t>Quick start</w:t>
      </w:r>
    </w:p>
    <w:p>
      <w:pPr>
        <w:pStyle w:val="ListBullet"/>
      </w:pPr>
      <w:r>
        <w:t>Collect the syllabus, course outcomes, topic schedule, assignment briefs, rubrics, assessment samples or aggregate results, program learning outcomes, and any required business core competencies.</w:t>
      </w:r>
    </w:p>
    <w:p>
      <w:pPr>
        <w:pStyle w:val="ListBullet"/>
      </w:pPr>
      <w:r>
        <w:t>Add two to five current external references relevant to the course, such as employer postings, practitioner input, discipline standards, software documentation, and professional frameworks. Record dates and URLs.</w:t>
      </w:r>
    </w:p>
    <w:p>
      <w:pPr>
        <w:pStyle w:val="ListBullet"/>
      </w:pPr>
      <w:r>
        <w:t>Remove student names and confidential records before using an AI tool. Use aggregate assessment results or anonymized examples and follow institutional policy.</w:t>
      </w:r>
    </w:p>
    <w:p>
      <w:pPr>
        <w:pStyle w:val="ListBullet"/>
      </w:pPr>
      <w:r>
        <w:t>Paste the prompt in Section 3 into an approved AI tool. Provide documents in labeled batches if they exceed the tool’s limits.</w:t>
      </w:r>
    </w:p>
    <w:p>
      <w:pPr>
        <w:pStyle w:val="ListBullet"/>
      </w:pPr>
      <w:r>
        <w:t>Review every citation and recommendation. Complete the decision log and recheck evidence after the next offering.</w:t>
      </w:r>
    </w:p>
    <w:p>
      <w:pPr>
        <w:pStyle w:val="Heading2"/>
      </w:pPr>
      <w:r>
        <w:t>Audit record</w:t>
      </w:r>
    </w:p>
    <w:tbl>
      <w:tblPr>
        <w:tblW w:type="auto" w:w="0"/>
        <w:jc w:val="center"/>
        <w:tblLayout w:type="fixed"/>
        <w:tblLook w:firstColumn="1" w:firstRow="1" w:lastColumn="0" w:lastRow="0" w:noHBand="0" w:noVBand="1" w:val="04A0"/>
      </w:tblPr>
      <w:tblGrid>
        <w:gridCol w:w="3312"/>
        <w:gridCol w:w="6336"/>
      </w:tblGrid>
      <w:tr>
        <w:trPr>
          <w:tblHeader/>
        </w:trPr>
        <w:tc>
          <w:tcPr>
            <w:tcW w:type="dxa" w:w="4939"/>
            <w:vAlign w:val="center"/>
            <w:shd w:fill="17324D"/>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color w:val="FFFFFF"/>
                <w:sz w:val="18"/>
              </w:rPr>
              <w:t>Field</w:t>
            </w:r>
          </w:p>
        </w:tc>
        <w:tc>
          <w:tcPr>
            <w:tcW w:type="dxa" w:w="4939"/>
            <w:vAlign w:val="center"/>
            <w:shd w:fill="17324D"/>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color w:val="FFFFFF"/>
                <w:sz w:val="18"/>
              </w:rPr>
              <w:t>Complete before running</w:t>
            </w:r>
          </w:p>
        </w:tc>
      </w:tr>
      <w:tr>
        <w:tc>
          <w:tcPr>
            <w:tcW w:type="dxa" w:w="331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Course, number, term</w:t>
            </w:r>
          </w:p>
        </w:tc>
        <w:tc>
          <w:tcPr>
            <w:tcW w:type="dxa" w:w="6336"/>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[Enter]</w:t>
            </w:r>
          </w:p>
        </w:tc>
      </w:tr>
      <w:tr>
        <w:tc>
          <w:tcPr>
            <w:tcW w:type="dxa" w:w="3312"/>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Instructor and reviewer</w:t>
            </w:r>
          </w:p>
        </w:tc>
        <w:tc>
          <w:tcPr>
            <w:tcW w:type="dxa" w:w="6336"/>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[Enter]</w:t>
            </w:r>
          </w:p>
        </w:tc>
      </w:tr>
      <w:tr>
        <w:tc>
          <w:tcPr>
            <w:tcW w:type="dxa" w:w="331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Program and PLO version</w:t>
            </w:r>
          </w:p>
        </w:tc>
        <w:tc>
          <w:tcPr>
            <w:tcW w:type="dxa" w:w="6336"/>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[Enter]</w:t>
            </w:r>
          </w:p>
        </w:tc>
      </w:tr>
      <w:tr>
        <w:tc>
          <w:tcPr>
            <w:tcW w:type="dxa" w:w="3312"/>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Audit date and next review</w:t>
            </w:r>
          </w:p>
        </w:tc>
        <w:tc>
          <w:tcPr>
            <w:tcW w:type="dxa" w:w="6336"/>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[Enter]</w:t>
            </w:r>
          </w:p>
        </w:tc>
      </w:tr>
      <w:tr>
        <w:tc>
          <w:tcPr>
            <w:tcW w:type="dxa" w:w="331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Applicable standards or policy version</w:t>
            </w:r>
          </w:p>
        </w:tc>
        <w:tc>
          <w:tcPr>
            <w:tcW w:type="dxa" w:w="6336"/>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[Enter]</w:t>
            </w:r>
          </w:p>
        </w:tc>
      </w:tr>
    </w:tbl>
    <w:p>
      <w:pPr>
        <w:spacing w:after="0"/>
      </w:pPr>
    </w:p>
    <w:p>
      <w:pPr>
        <w:pStyle w:val="Heading2"/>
      </w:pPr>
      <w:r>
        <w:t>Evidence inventory</w:t>
      </w:r>
    </w:p>
    <w:tbl>
      <w:tblPr>
        <w:tblW w:type="auto" w:w="0"/>
        <w:jc w:val="center"/>
        <w:tblLayout w:type="fixed"/>
        <w:tblLook w:firstColumn="1" w:firstRow="1" w:lastColumn="0" w:lastRow="0" w:noHBand="0" w:noVBand="1" w:val="04A0"/>
      </w:tblPr>
      <w:tblGrid>
        <w:gridCol w:w="3888"/>
        <w:gridCol w:w="1296"/>
        <w:gridCol w:w="4464"/>
      </w:tblGrid>
      <w:tr>
        <w:trPr>
          <w:tblHeader/>
        </w:trPr>
        <w:tc>
          <w:tcPr>
            <w:tcW w:type="dxa" w:w="3293"/>
            <w:vAlign w:val="center"/>
            <w:shd w:fill="17324D"/>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color w:val="FFFFFF"/>
                <w:sz w:val="18"/>
              </w:rPr>
              <w:t>Item</w:t>
            </w:r>
          </w:p>
        </w:tc>
        <w:tc>
          <w:tcPr>
            <w:tcW w:type="dxa" w:w="3293"/>
            <w:vAlign w:val="center"/>
            <w:shd w:fill="17324D"/>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color w:val="FFFFFF"/>
                <w:sz w:val="18"/>
              </w:rPr>
              <w:t>Provided?</w:t>
            </w:r>
          </w:p>
        </w:tc>
        <w:tc>
          <w:tcPr>
            <w:tcW w:type="dxa" w:w="3293"/>
            <w:vAlign w:val="center"/>
            <w:shd w:fill="17324D"/>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color w:val="FFFFFF"/>
                <w:sz w:val="18"/>
              </w:rPr>
              <w:t>Version or location</w:t>
            </w:r>
          </w:p>
        </w:tc>
      </w:tr>
      <w:tr>
        <w:tc>
          <w:tcPr>
            <w:tcW w:type="dxa" w:w="3888"/>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Syllabus and schedule</w:t>
            </w:r>
          </w:p>
        </w:tc>
        <w:tc>
          <w:tcPr>
            <w:tcW w:type="dxa" w:w="1296"/>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 ]</w:t>
            </w:r>
          </w:p>
        </w:tc>
        <w:tc>
          <w:tcPr>
            <w:tcW w:type="dxa" w:w="4464"/>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[Enter]</w:t>
            </w:r>
          </w:p>
        </w:tc>
      </w:tr>
      <w:tr>
        <w:tc>
          <w:tcPr>
            <w:tcW w:type="dxa" w:w="3888"/>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Course and program outcomes</w:t>
            </w:r>
          </w:p>
        </w:tc>
        <w:tc>
          <w:tcPr>
            <w:tcW w:type="dxa" w:w="1296"/>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 ]</w:t>
            </w:r>
          </w:p>
        </w:tc>
        <w:tc>
          <w:tcPr>
            <w:tcW w:type="dxa" w:w="4464"/>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[Enter]</w:t>
            </w:r>
          </w:p>
        </w:tc>
      </w:tr>
      <w:tr>
        <w:tc>
          <w:tcPr>
            <w:tcW w:type="dxa" w:w="3888"/>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Assignments and rubrics</w:t>
            </w:r>
          </w:p>
        </w:tc>
        <w:tc>
          <w:tcPr>
            <w:tcW w:type="dxa" w:w="1296"/>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 ]</w:t>
            </w:r>
          </w:p>
        </w:tc>
        <w:tc>
          <w:tcPr>
            <w:tcW w:type="dxa" w:w="4464"/>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[Enter]</w:t>
            </w:r>
          </w:p>
        </w:tc>
      </w:tr>
      <w:tr>
        <w:tc>
          <w:tcPr>
            <w:tcW w:type="dxa" w:w="3888"/>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Student work or aggregate results</w:t>
            </w:r>
          </w:p>
        </w:tc>
        <w:tc>
          <w:tcPr>
            <w:tcW w:type="dxa" w:w="1296"/>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 ]</w:t>
            </w:r>
          </w:p>
        </w:tc>
        <w:tc>
          <w:tcPr>
            <w:tcW w:type="dxa" w:w="4464"/>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[Enter]</w:t>
            </w:r>
          </w:p>
        </w:tc>
      </w:tr>
      <w:tr>
        <w:tc>
          <w:tcPr>
            <w:tcW w:type="dxa" w:w="3888"/>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External skill and practice signals</w:t>
            </w:r>
          </w:p>
        </w:tc>
        <w:tc>
          <w:tcPr>
            <w:tcW w:type="dxa" w:w="1296"/>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 ]</w:t>
            </w:r>
          </w:p>
        </w:tc>
        <w:tc>
          <w:tcPr>
            <w:tcW w:type="dxa" w:w="4464"/>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[Enter]</w:t>
            </w:r>
          </w:p>
        </w:tc>
      </w:tr>
      <w:tr>
        <w:tc>
          <w:tcPr>
            <w:tcW w:type="dxa" w:w="3888"/>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Prior audit and action results</w:t>
            </w:r>
          </w:p>
        </w:tc>
        <w:tc>
          <w:tcPr>
            <w:tcW w:type="dxa" w:w="1296"/>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 ]</w:t>
            </w:r>
          </w:p>
        </w:tc>
        <w:tc>
          <w:tcPr>
            <w:tcW w:type="dxa" w:w="4464"/>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[Enter]</w:t>
            </w:r>
          </w:p>
        </w:tc>
      </w:tr>
    </w:tbl>
    <w:p>
      <w:pPr>
        <w:spacing w:after="0"/>
      </w:pPr>
    </w:p>
    <w:p>
      <w:pPr>
        <w:pStyle w:val="Heading1"/>
      </w:pPr>
      <w:r>
        <w:t>Audit method</w:t>
      </w:r>
    </w:p>
    <w:p>
      <w:r>
        <w:t>Review the course in two passes. First identify what the supplied materials demonstrate. Then compare that evidence with current external sources and program requirements. A missing artifact means “cannot determine”; it does not prove the course lacks the competency.</w:t>
      </w:r>
    </w:p>
    <w:tbl>
      <w:tblPr>
        <w:tblW w:type="auto" w:w="0"/>
        <w:jc w:val="center"/>
        <w:tblLayout w:type="fixed"/>
        <w:tblLook w:firstColumn="1" w:firstRow="1" w:lastColumn="0" w:lastRow="0" w:noHBand="0" w:noVBand="1" w:val="04A0"/>
      </w:tblPr>
      <w:tblGrid>
        <w:gridCol w:w="2160"/>
        <w:gridCol w:w="6408"/>
        <w:gridCol w:w="1080"/>
      </w:tblGrid>
      <w:tr>
        <w:trPr>
          <w:tblHeader/>
        </w:trPr>
        <w:tc>
          <w:tcPr>
            <w:tcW w:type="dxa" w:w="3293"/>
            <w:vAlign w:val="center"/>
            <w:shd w:fill="17324D"/>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color w:val="FFFFFF"/>
                <w:sz w:val="18"/>
              </w:rPr>
              <w:t>Dimension</w:t>
            </w:r>
          </w:p>
        </w:tc>
        <w:tc>
          <w:tcPr>
            <w:tcW w:type="dxa" w:w="3293"/>
            <w:vAlign w:val="center"/>
            <w:shd w:fill="17324D"/>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color w:val="FFFFFF"/>
                <w:sz w:val="18"/>
              </w:rPr>
              <w:t>Evidence to inspect</w:t>
            </w:r>
          </w:p>
        </w:tc>
        <w:tc>
          <w:tcPr>
            <w:tcW w:type="dxa" w:w="3293"/>
            <w:vAlign w:val="center"/>
            <w:shd w:fill="17324D"/>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color w:val="FFFFFF"/>
                <w:sz w:val="18"/>
              </w:rPr>
              <w:t>Rating</w:t>
            </w:r>
          </w:p>
        </w:tc>
      </w:tr>
      <w:tr>
        <w:tc>
          <w:tcPr>
            <w:tcW w:type="dxa" w:w="2160"/>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Content currency</w:t>
            </w:r>
          </w:p>
        </w:tc>
        <w:tc>
          <w:tcPr>
            <w:tcW w:type="dxa" w:w="6408"/>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Dates, tools, cases, required concepts, current practice</w:t>
            </w:r>
          </w:p>
        </w:tc>
        <w:tc>
          <w:tcPr>
            <w:tcW w:type="dxa" w:w="1080"/>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0–3 / U</w:t>
            </w:r>
          </w:p>
        </w:tc>
      </w:tr>
      <w:tr>
        <w:tc>
          <w:tcPr>
            <w:tcW w:type="dxa" w:w="2160"/>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PLO and core alignment</w:t>
            </w:r>
          </w:p>
        </w:tc>
        <w:tc>
          <w:tcPr>
            <w:tcW w:type="dxa" w:w="6408"/>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Outcome map, where each competency is taught and assessed</w:t>
            </w:r>
          </w:p>
        </w:tc>
        <w:tc>
          <w:tcPr>
            <w:tcW w:type="dxa" w:w="1080"/>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0–3 / U</w:t>
            </w:r>
          </w:p>
        </w:tc>
      </w:tr>
      <w:tr>
        <w:tc>
          <w:tcPr>
            <w:tcW w:type="dxa" w:w="2160"/>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Assessment quality</w:t>
            </w:r>
          </w:p>
        </w:tc>
        <w:tc>
          <w:tcPr>
            <w:tcW w:type="dxa" w:w="6408"/>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Rubrics, direct evidence, feedback, observed results</w:t>
            </w:r>
          </w:p>
        </w:tc>
        <w:tc>
          <w:tcPr>
            <w:tcW w:type="dxa" w:w="1080"/>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0–3 / U</w:t>
            </w:r>
          </w:p>
        </w:tc>
      </w:tr>
      <w:tr>
        <w:tc>
          <w:tcPr>
            <w:tcW w:type="dxa" w:w="2160"/>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Career application</w:t>
            </w:r>
          </w:p>
        </w:tc>
        <w:tc>
          <w:tcPr>
            <w:tcW w:type="dxa" w:w="6408"/>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Authentic tasks and portable student artifacts</w:t>
            </w:r>
          </w:p>
        </w:tc>
        <w:tc>
          <w:tcPr>
            <w:tcW w:type="dxa" w:w="1080"/>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0–3 / U</w:t>
            </w:r>
          </w:p>
        </w:tc>
      </w:tr>
      <w:tr>
        <w:tc>
          <w:tcPr>
            <w:tcW w:type="dxa" w:w="2160"/>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AI and technology</w:t>
            </w:r>
          </w:p>
        </w:tc>
        <w:tc>
          <w:tcPr>
            <w:tcW w:type="dxa" w:w="6408"/>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Tasks done independently, with AI, and under AI supervision</w:t>
            </w:r>
          </w:p>
        </w:tc>
        <w:tc>
          <w:tcPr>
            <w:tcW w:type="dxa" w:w="1080"/>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0–3 / U</w:t>
            </w:r>
          </w:p>
        </w:tc>
      </w:tr>
      <w:tr>
        <w:tc>
          <w:tcPr>
            <w:tcW w:type="dxa" w:w="2160"/>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Ethics and access</w:t>
            </w:r>
          </w:p>
        </w:tc>
        <w:tc>
          <w:tcPr>
            <w:tcW w:type="dxa" w:w="6408"/>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Contextual dilemmas, data care, accessibility and tool access</w:t>
            </w:r>
          </w:p>
        </w:tc>
        <w:tc>
          <w:tcPr>
            <w:tcW w:type="dxa" w:w="1080"/>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0–3 / U</w:t>
            </w:r>
          </w:p>
        </w:tc>
      </w:tr>
    </w:tbl>
    <w:p>
      <w:pPr>
        <w:spacing w:after="0"/>
      </w:pPr>
    </w:p>
    <w:p>
      <w:r>
        <w:t>Rating: 0 = no evidence despite sufficient materials; 1 = limited or outdated; 2 = adequate with specific improvements; 3 = strong and current with clear evidence; U = unknown because evidence is missing. Ratings are discussion aids, not accreditation determinations. Do not total them when any dimension is U.</w:t>
      </w:r>
    </w:p>
    <w:p>
      <w:pPr>
        <w:pStyle w:val="Heading2"/>
      </w:pPr>
      <w:r>
        <w:t>Decision rules</w:t>
      </w:r>
    </w:p>
    <w:tbl>
      <w:tblPr>
        <w:tblW w:type="auto" w:w="0"/>
        <w:jc w:val="center"/>
        <w:tblLayout w:type="fixed"/>
        <w:tblLook w:firstColumn="1" w:firstRow="1" w:lastColumn="0" w:lastRow="0" w:noHBand="0" w:noVBand="1" w:val="04A0"/>
      </w:tblPr>
      <w:tblGrid>
        <w:gridCol w:w="1584"/>
        <w:gridCol w:w="8064"/>
      </w:tblGrid>
      <w:tr>
        <w:trPr>
          <w:tblHeader/>
        </w:trPr>
        <w:tc>
          <w:tcPr>
            <w:tcW w:type="dxa" w:w="4939"/>
            <w:vAlign w:val="center"/>
            <w:shd w:fill="17324D"/>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color w:val="FFFFFF"/>
                <w:sz w:val="18"/>
              </w:rPr>
              <w:t>Decision</w:t>
            </w:r>
          </w:p>
        </w:tc>
        <w:tc>
          <w:tcPr>
            <w:tcW w:type="dxa" w:w="4939"/>
            <w:vAlign w:val="center"/>
            <w:shd w:fill="17324D"/>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color w:val="FFFFFF"/>
                <w:sz w:val="18"/>
              </w:rPr>
              <w:t>Use when</w:t>
            </w:r>
          </w:p>
        </w:tc>
      </w:tr>
      <w:tr>
        <w:tc>
          <w:tcPr>
            <w:tcW w:type="dxa" w:w="1584"/>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KEEP</w:t>
            </w:r>
          </w:p>
        </w:tc>
        <w:tc>
          <w:tcPr>
            <w:tcW w:type="dxa" w:w="8064"/>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Current, aligned, and supported by student learning evidence.</w:t>
            </w:r>
          </w:p>
        </w:tc>
      </w:tr>
      <w:tr>
        <w:tc>
          <w:tcPr>
            <w:tcW w:type="dxa" w:w="1584"/>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UPDATE</w:t>
            </w:r>
          </w:p>
        </w:tc>
        <w:tc>
          <w:tcPr>
            <w:tcW w:type="dxa" w:w="8064"/>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Foundational or required content remains useful, but examples, tools, pedagogy, or assessment need revision.</w:t>
            </w:r>
          </w:p>
        </w:tc>
      </w:tr>
      <w:tr>
        <w:tc>
          <w:tcPr>
            <w:tcW w:type="dxa" w:w="1584"/>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ADD</w:t>
            </w:r>
          </w:p>
        </w:tc>
        <w:tc>
          <w:tcPr>
            <w:tcW w:type="dxa" w:w="8064"/>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A validated competency gap exists, and the course is the appropriate home for it.</w:t>
            </w:r>
          </w:p>
        </w:tc>
      </w:tr>
      <w:tr>
        <w:tc>
          <w:tcPr>
            <w:tcW w:type="dxa" w:w="1584"/>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REMOVE</w:t>
            </w:r>
          </w:p>
        </w:tc>
        <w:tc>
          <w:tcPr>
            <w:tcW w:type="dxa" w:w="8064"/>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Obsolete or duplicated material is no longer needed for an outcome or prerequisite; identify the replacement or coverage elsewhere.</w:t>
            </w:r>
          </w:p>
        </w:tc>
      </w:tr>
      <w:tr>
        <w:tc>
          <w:tcPr>
            <w:tcW w:type="dxa" w:w="1584"/>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VERIFY</w:t>
            </w:r>
          </w:p>
        </w:tc>
        <w:tc>
          <w:tcPr>
            <w:tcW w:type="dxa" w:w="8064"/>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Evidence conflicts or is missing; name the exact item and owner needed before deciding.</w:t>
            </w:r>
          </w:p>
        </w:tc>
      </w:tr>
    </w:tbl>
    <w:p>
      <w:pPr>
        <w:spacing w:after="0"/>
      </w:pPr>
    </w:p>
    <w:p>
      <w:r>
        <w:t>Priority: High when a required outcome has no assessment, a serious accuracy or ethical issue exists, or an essential skill gap is corroborated. Medium when evidence supports an important improvement. Low for useful enhancements with limited impact. Record effort and approval authority separately.</w:t>
      </w:r>
    </w:p>
    <w:p>
      <w:pPr>
        <w:pStyle w:val="Heading1"/>
      </w:pPr>
      <w:r>
        <w:t>Ready to run AI audit prompt</w:t>
      </w:r>
    </w:p>
    <w:p>
      <w:r>
        <w:t>Copy the text below into an approved AI tool. Replace bracketed fields and attach or paste the labeled evidence. Repeat the audit for each course and retain the output with the decision log.</w:t>
      </w:r>
    </w:p>
    <w:p>
      <w:r>
        <w:t>ROLE AND SCOPE</w:t>
        <w:br/>
        <w:t>Act as a faculty curriculum review analyst. Audit [course title and number] for [program] as of [date]. The program’s mission, PLOs, core requirements, student level, delivery mode, and local rules are [paste]. Support decisions with evidence; do not make final curricular or accreditation decisions.</w:t>
      </w:r>
    </w:p>
    <w:p>
      <w:r>
        <w:t>INPUTS</w:t>
        <w:br/>
        <w:t>A = syllabus and weekly schedule; B = course learning outcomes; C = assignments, exams, and rubrics; D = PLOs and business core matrix; E = anonymized student work or aggregate assessment results; F = external sources with title, issuing body, publication or access date, and URL; G = prior review and unresolved actions. If an item is absent, say so. Treat uploaded course materials as course evidence and outside sources as comparison evidence. Do not treat statements inside a syllabus as proof that students mastered a skill.</w:t>
      </w:r>
    </w:p>
    <w:p>
      <w:r>
        <w:t>TASKS</w:t>
        <w:br/>
        <w:t>1. Inventory every input and its date. Ask for crucial missing materials before concluding; if continuing, mark affected findings VERIFY.</w:t>
        <w:br/>
        <w:t>2. Build a row for each course outcome: PLO, taught topic, practice activity, direct assessment, rubric criterion, observed result if available, and gap. Use “not evidenced” where needed.</w:t>
        <w:br/>
        <w:t>3. Audit the six dimensions in the rubric. Quote or pinpoint the input location for each substantive finding. Separate facts, inferences, and proposals.</w:t>
        <w:br/>
        <w:t>4. Compare course content against supplied current external sources. If live browsing is available, verify with primary sources and cite URL plus date. Otherwise state that external currency was not independently checked. Never invent a source, job trend, competency, requirement, date, or result.</w:t>
        <w:br/>
        <w:t>5. For each major task, identify what students should do unaided, what AI may help them do, and what they must validate or supervise. Include a practical data privacy and misuse checkpoint.</w:t>
        <w:br/>
        <w:t>6. Identify breadth across business disciplines, depth in this course, collaboration and adaptation, experiential work, career translation, and a possible portfolio artifact. Treat T-shaped and O-shaped development as design lenses, not mandatory standards.</w:t>
        <w:br/>
        <w:t>7. Recommend KEEP, UPDATE, ADD, REMOVE, or VERIFY for specific topics or assessments. For each, state evidence, reason, PLO impact, student evidence expected, priority, effort, owner, and approval needed. Do not recommend removal if a required outcome would lose coverage.</w:t>
        <w:br/>
        <w:t>8. Produce the output below. End with five questions faculty must settle and a short list of exact missing evidence.</w:t>
      </w:r>
    </w:p>
    <w:p>
      <w:r>
        <w:t>OUTPUT</w:t>
        <w:br/>
        <w:t>A. Audit metadata and input inventory.</w:t>
        <w:br/>
        <w:t>B. Executive summary: three strongest areas, three highest priority gaps, and limits.</w:t>
        <w:br/>
        <w:t>C. Outcome to evidence map.</w:t>
        <w:br/>
        <w:t>D. Six dimension ratings with evidence and uncertainty.</w:t>
        <w:br/>
        <w:t>E. Decision log with recommendations and source locations.</w:t>
        <w:br/>
        <w:t>F. Proposed revisions to one or two assignments, showing original task, revised task, rubric evidence, AI boundaries, and portfolio value.</w:t>
        <w:br/>
        <w:t>G. 30, 60, and 90 day action plan, followed by next offering assessment checks.</w:t>
        <w:br/>
        <w:t>H. Source register with URLs, dates, and the exact claim each supports.</w:t>
        <w:br/>
        <w:t>I. Questions for faculty review.</w:t>
        <w:br/>
        <w:t>Keep external forecasts distinct from present employer evidence. Use no invented scores or citations. If sources disagree, present the disagreement and what would resolve it.</w:t>
      </w:r>
    </w:p>
    <w:p>
      <w:pPr>
        <w:pStyle w:val="Heading1"/>
      </w:pPr>
      <w:r>
        <w:t>Faculty decision log</w:t>
      </w:r>
    </w:p>
    <w:p>
      <w:r>
        <w:t>Copy this table for every course review. Keep one row per proposed change; evidence IDs should point back to the source register or course document section.</w:t>
      </w:r>
    </w:p>
    <w:tbl>
      <w:tblPr>
        <w:tblW w:type="auto" w:w="0"/>
        <w:jc w:val="center"/>
        <w:tblLayout w:type="fixed"/>
        <w:tblLook w:firstColumn="1" w:firstRow="1" w:lastColumn="0" w:lastRow="0" w:noHBand="0" w:noVBand="1" w:val="04A0"/>
      </w:tblPr>
      <w:tblGrid>
        <w:gridCol w:w="2304"/>
        <w:gridCol w:w="3024"/>
        <w:gridCol w:w="1944"/>
        <w:gridCol w:w="2376"/>
      </w:tblGrid>
      <w:tr>
        <w:trPr>
          <w:tblHeader/>
        </w:trPr>
        <w:tc>
          <w:tcPr>
            <w:tcW w:type="dxa" w:w="2469"/>
            <w:vAlign w:val="center"/>
            <w:shd w:fill="17324D"/>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color w:val="FFFFFF"/>
                <w:sz w:val="18"/>
              </w:rPr>
              <w:t>Topic or assessment</w:t>
            </w:r>
          </w:p>
        </w:tc>
        <w:tc>
          <w:tcPr>
            <w:tcW w:type="dxa" w:w="2469"/>
            <w:vAlign w:val="center"/>
            <w:shd w:fill="17324D"/>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color w:val="FFFFFF"/>
                <w:sz w:val="18"/>
              </w:rPr>
              <w:t>Evidence and PLO</w:t>
            </w:r>
          </w:p>
        </w:tc>
        <w:tc>
          <w:tcPr>
            <w:tcW w:type="dxa" w:w="2469"/>
            <w:vAlign w:val="center"/>
            <w:shd w:fill="17324D"/>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color w:val="FFFFFF"/>
                <w:sz w:val="18"/>
              </w:rPr>
              <w:t>Decision</w:t>
            </w:r>
          </w:p>
        </w:tc>
        <w:tc>
          <w:tcPr>
            <w:tcW w:type="dxa" w:w="2469"/>
            <w:vAlign w:val="center"/>
            <w:shd w:fill="17324D"/>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color w:val="FFFFFF"/>
                <w:sz w:val="18"/>
              </w:rPr>
              <w:t>Priority / owner / date</w:t>
            </w:r>
          </w:p>
        </w:tc>
      </w:tr>
      <w:tr>
        <w:tc>
          <w:tcPr>
            <w:tcW w:type="dxa" w:w="2304"/>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[Specific item]</w:t>
            </w:r>
          </w:p>
        </w:tc>
        <w:tc>
          <w:tcPr>
            <w:tcW w:type="dxa" w:w="3024"/>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[A §…; F URL…; PLO…]</w:t>
            </w:r>
          </w:p>
        </w:tc>
        <w:tc>
          <w:tcPr>
            <w:tcW w:type="dxa" w:w="1944"/>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[KEEP / UPDATE / ADD / REMOVE / VERIFY]</w:t>
            </w:r>
          </w:p>
        </w:tc>
        <w:tc>
          <w:tcPr>
            <w:tcW w:type="dxa" w:w="2376"/>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[Level; name; due date]</w:t>
            </w:r>
          </w:p>
        </w:tc>
      </w:tr>
      <w:tr>
        <w:tc>
          <w:tcPr>
            <w:tcW w:type="dxa" w:w="2304"/>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[Specific item]</w:t>
            </w:r>
          </w:p>
        </w:tc>
        <w:tc>
          <w:tcPr>
            <w:tcW w:type="dxa" w:w="3024"/>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[Evidence; impact]</w:t>
            </w:r>
          </w:p>
        </w:tc>
        <w:tc>
          <w:tcPr>
            <w:tcW w:type="dxa" w:w="1944"/>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[Decision]</w:t>
            </w:r>
          </w:p>
        </w:tc>
        <w:tc>
          <w:tcPr>
            <w:tcW w:type="dxa" w:w="2376"/>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[Level; name; due date]</w:t>
            </w:r>
          </w:p>
        </w:tc>
      </w:tr>
    </w:tbl>
    <w:p>
      <w:pPr>
        <w:spacing w:after="0"/>
      </w:pPr>
    </w:p>
    <w:p>
      <w:r>
        <w:t>Faculty disposition for each row: accepted / revised / declined / deferred. Rationale: [enter]. Required committee or policy approval: [enter]. Date approved: [enter].</w:t>
      </w:r>
    </w:p>
    <w:p>
      <w:pPr>
        <w:pStyle w:val="Heading2"/>
      </w:pPr>
      <w:r>
        <w:t>Follow through</w:t>
      </w:r>
    </w:p>
    <w:tbl>
      <w:tblPr>
        <w:tblW w:type="auto" w:w="0"/>
        <w:jc w:val="center"/>
        <w:tblLayout w:type="fixed"/>
        <w:tblLook w:firstColumn="1" w:firstRow="1" w:lastColumn="0" w:lastRow="0" w:noHBand="0" w:noVBand="1" w:val="04A0"/>
      </w:tblPr>
      <w:tblGrid>
        <w:gridCol w:w="1944"/>
        <w:gridCol w:w="7704"/>
      </w:tblGrid>
      <w:tr>
        <w:trPr>
          <w:tblHeader/>
        </w:trPr>
        <w:tc>
          <w:tcPr>
            <w:tcW w:type="dxa" w:w="4939"/>
            <w:vAlign w:val="center"/>
            <w:shd w:fill="17324D"/>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color w:val="FFFFFF"/>
                <w:sz w:val="18"/>
              </w:rPr>
              <w:t>When</w:t>
            </w:r>
          </w:p>
        </w:tc>
        <w:tc>
          <w:tcPr>
            <w:tcW w:type="dxa" w:w="4939"/>
            <w:vAlign w:val="center"/>
            <w:shd w:fill="17324D"/>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color w:val="FFFFFF"/>
                <w:sz w:val="18"/>
              </w:rPr>
              <w:t>Check</w:t>
            </w:r>
          </w:p>
        </w:tc>
      </w:tr>
      <w:tr>
        <w:tc>
          <w:tcPr>
            <w:tcW w:type="dxa" w:w="1944"/>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Before next offering</w:t>
            </w:r>
          </w:p>
        </w:tc>
        <w:tc>
          <w:tcPr>
            <w:tcW w:type="dxa" w:w="7704"/>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Update materials and rubrics; confirm any program approvals and cross section common minimums.</w:t>
            </w:r>
          </w:p>
        </w:tc>
      </w:tr>
      <w:tr>
        <w:tc>
          <w:tcPr>
            <w:tcW w:type="dxa" w:w="1944"/>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During next offering</w:t>
            </w:r>
          </w:p>
        </w:tc>
        <w:tc>
          <w:tcPr>
            <w:tcW w:type="dxa" w:w="7704"/>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Collect direct evidence for the changed outcome using the same rubric criterion where possible.</w:t>
            </w:r>
          </w:p>
        </w:tc>
      </w:tr>
      <w:tr>
        <w:tc>
          <w:tcPr>
            <w:tcW w:type="dxa" w:w="1944"/>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After next offering</w:t>
            </w:r>
          </w:p>
        </w:tc>
        <w:tc>
          <w:tcPr>
            <w:tcW w:type="dxa" w:w="7704"/>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Compare results and student work; record whether the change improved learning and what to adjust.</w:t>
            </w:r>
          </w:p>
        </w:tc>
      </w:tr>
      <w:tr>
        <w:tc>
          <w:tcPr>
            <w:tcW w:type="dxa" w:w="1944"/>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Annual review</w:t>
            </w:r>
          </w:p>
        </w:tc>
        <w:tc>
          <w:tcPr>
            <w:tcW w:type="dxa" w:w="7704"/>
            <w:vAlign w:val="center"/>
            <w:shd w:fill="F2F6F9"/>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0"/>
            </w:pPr>
            <w:r>
              <w:rPr>
                <w:b w:val="0"/>
                <w:color w:val="1B222A"/>
                <w:sz w:val="18"/>
              </w:rPr>
              <w:t>Refresh volatile tools and employer signals; review full PLO coverage with program faculty.</w:t>
            </w:r>
          </w:p>
        </w:tc>
      </w:tr>
    </w:tbl>
    <w:p>
      <w:pPr>
        <w:spacing w:after="0"/>
      </w:pPr>
    </w:p>
    <w:p>
      <w:pPr>
        <w:pStyle w:val="Heading2"/>
      </w:pPr>
      <w:r>
        <w:t>Illustrative finding</w:t>
      </w:r>
    </w:p>
    <w:p>
      <w:r>
        <w:t>Example only: An introductory analytics course lists “communicate findings” as an outcome, and students submit a dashboard, but the provided rubric grades chart formatting without assessing recommendation quality. The audit would mark assessment quality UPDATE, cite the outcome and rubric lines, add a decision memo criterion to the rubric, and check a sample of memos after the next offering. It would not infer that students lack communication skill from the rubric alone.</w:t>
      </w:r>
    </w:p>
    <w:p>
      <w:pPr>
        <w:pStyle w:val="Heading1"/>
      </w:pPr>
      <w:r>
        <w:t>Source register and version check</w:t>
      </w:r>
    </w:p>
    <w:p>
      <w:r>
        <w:t>Use local program documents as the authority for PLO wording and business core requirements. The following external references are starting points, not substitutes for current local policy or discipline-specific evidence:</w:t>
      </w:r>
    </w:p>
    <w:p>
      <w:pPr>
        <w:pStyle w:val="ListBullet"/>
      </w:pPr>
      <w:r>
        <w:t>AACSB Global Standards for Business Education, Standards 4 and 5, accessed September 25, 2026. https://www.aacsb.edu/educators/global-standards</w:t>
      </w:r>
    </w:p>
    <w:p>
      <w:pPr>
        <w:pStyle w:val="ListBullet"/>
      </w:pPr>
      <w:r>
        <w:t>NACE, Career Readiness Defined and competencies, accessed September 25, 2026. https://www.naceweb.org/career-readiness/competencies/career-readiness-defined</w:t>
      </w:r>
    </w:p>
    <w:p>
      <w:pPr>
        <w:pStyle w:val="ListBullet"/>
      </w:pPr>
      <w:r>
        <w:t>World Economic Forum, Future of Jobs Report 2025, Skills Outlook. Forecast horizon 2025–2030; use as a broad signal, not proof of local hiring. https://www.weforum.org/publications/the-future-of-jobs-report-2025/in-full/3-skills-outlook/</w:t>
      </w:r>
    </w:p>
    <w:p>
      <w:r>
        <w:t>Before each new audit, check the current edition of any accreditation or professional standard, record the version used, and replace links or definitions that have changed. The audit is designed for annual course review and a fuller program level mapping cycle selected by faculty.</w:t>
      </w:r>
    </w:p>
    <w:sectPr w:rsidR="00FC693F" w:rsidRPr="0006063C" w:rsidSect="00034616">
      <w:footerReference w:type="default" r:id="rId9"/>
      <w:pgSz w:w="12240" w:h="15840"/>
      <w:pgMar w:top="1037" w:right="1181" w:bottom="936"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Curriculum Currency Auditor  •  Steven Bryan  •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1B22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